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  <w:br/>
        <w:t>Чебаркульского городского округа</w:t>
      </w:r>
    </w:p>
    <w:p>
      <w:pPr>
        <w:pStyle w:val="Normal"/>
        <w:spacing w:lineRule="auto" w:line="240" w:before="0" w:after="0"/>
        <w:ind w:left="5387"/>
        <w:rPr/>
      </w:pPr>
      <w:r>
        <w:rPr>
          <w:rFonts w:cs="Times New Roman" w:ascii="Times New Roman" w:hAnsi="Times New Roman"/>
          <w:sz w:val="28"/>
          <w:szCs w:val="28"/>
        </w:rPr>
        <w:t>от 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10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11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г. №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</w:t>
      </w:r>
      <w:r>
        <w:rPr>
          <w:rFonts w:cs="Times New Roman" w:ascii="Times New Roman" w:hAnsi="Times New Roman"/>
          <w:sz w:val="28"/>
          <w:szCs w:val="28"/>
          <w:u w:val="single"/>
        </w:rPr>
        <w:t>875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spacing w:lineRule="auto" w:line="240" w:before="0" w:after="0"/>
        <w:ind w:left="5387"/>
        <w:jc w:val="center"/>
        <w:rPr>
          <w:u w:val="none"/>
        </w:rPr>
      </w:pPr>
      <w:r>
        <w:rPr>
          <w:rFonts w:cs="Times New Roman" w:ascii="Times New Roman" w:hAnsi="Times New Roman"/>
          <w:kern w:val="2"/>
          <w:sz w:val="28"/>
          <w:szCs w:val="28"/>
          <w:u w:val="none"/>
        </w:rPr>
        <w:t>(с изменениями от</w:t>
        <w:br/>
      </w:r>
      <w:r>
        <w:rPr>
          <w:rFonts w:cs="Times New Roman" w:ascii="Times New Roman" w:hAnsi="Times New Roman"/>
          <w:sz w:val="28"/>
          <w:szCs w:val="28"/>
          <w:u w:val="none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28 </w:t>
      </w:r>
      <w:r>
        <w:rPr>
          <w:rFonts w:cs="Times New Roman" w:ascii="Times New Roman" w:hAnsi="Times New Roman"/>
          <w:sz w:val="28"/>
          <w:szCs w:val="28"/>
          <w:u w:val="none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12  </w:t>
      </w:r>
      <w:r>
        <w:rPr>
          <w:rFonts w:cs="Times New Roman" w:ascii="Times New Roman" w:hAnsi="Times New Roman"/>
          <w:sz w:val="28"/>
          <w:szCs w:val="28"/>
          <w:u w:val="none"/>
        </w:rPr>
        <w:t>202</w:t>
      </w:r>
      <w:r>
        <w:rPr>
          <w:rFonts w:cs="Times New Roman" w:ascii="Times New Roman" w:hAnsi="Times New Roman"/>
          <w:sz w:val="28"/>
          <w:szCs w:val="28"/>
          <w:u w:val="none"/>
        </w:rPr>
        <w:t>4</w:t>
      </w:r>
      <w:r>
        <w:rPr>
          <w:rFonts w:cs="Times New Roman" w:ascii="Times New Roman" w:hAnsi="Times New Roman"/>
          <w:sz w:val="28"/>
          <w:szCs w:val="28"/>
          <w:u w:val="none"/>
        </w:rPr>
        <w:t>г. №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1032 </w:t>
      </w:r>
      <w:r>
        <w:rPr>
          <w:rFonts w:cs="Times New Roman" w:ascii="Times New Roman" w:hAnsi="Times New Roman"/>
          <w:sz w:val="28"/>
          <w:szCs w:val="28"/>
          <w:u w:val="none"/>
        </w:rPr>
        <w:t>)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/>
      </w:pPr>
      <w:r>
        <w:rPr/>
        <w:t>Муниципальная программа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(далее - программа)</w:t>
      </w:r>
    </w:p>
    <w:p>
      <w:pPr>
        <w:pStyle w:val="ConsPlusNormal"/>
        <w:rPr/>
      </w:pPr>
      <w:r>
        <w:rPr/>
      </w:r>
    </w:p>
    <w:p>
      <w:pPr>
        <w:pStyle w:val="Style61"/>
        <w:widowControl/>
        <w:suppressAutoHyphens w:val="true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>
      <w:pPr>
        <w:pStyle w:val="Style61"/>
        <w:widowControl/>
        <w:suppressAutoHyphens w:val="true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3"/>
        <w:gridCol w:w="7680"/>
      </w:tblGrid>
      <w:tr>
        <w:trPr>
          <w:trHeight w:val="486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Чебаркульского городского округа (отдел ГО и ЧС и взаимодействия с правоохранительными органами)</w:t>
            </w:r>
          </w:p>
        </w:tc>
      </w:tr>
      <w:tr>
        <w:trPr>
          <w:trHeight w:val="88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дежурно-диспетчерская служба Чебаркульского городского округа»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Чебаркульского городского округа</w:t>
            </w:r>
          </w:p>
        </w:tc>
      </w:tr>
      <w:tr>
        <w:trPr>
          <w:trHeight w:val="151" w:hRule="atLeast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Чебаркульского городского округа</w:t>
            </w:r>
          </w:p>
        </w:tc>
      </w:tr>
      <w:tr>
        <w:trPr>
          <w:trHeight w:val="350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и снижение риска возникновения чрезвычайных ситуаций, а также минимизация социального,  экономического и экологического ущерба, наносимого населению, экономике и природной среде, от  чрезвычайных ситуаций природного и техногенного характера, пожаров и  происшествий на водных объектах Чебаркульского городского округа</w:t>
            </w:r>
          </w:p>
        </w:tc>
      </w:tr>
      <w:tr>
        <w:trPr>
          <w:trHeight w:val="1032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ind w:firstLine="284"/>
              <w:jc w:val="both"/>
              <w:rPr/>
            </w:pPr>
            <w:r>
              <w:rPr/>
              <w:t>- 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</w:t>
            </w:r>
            <w:r>
              <w:rPr>
                <w:bCs/>
                <w:iCs/>
              </w:rPr>
              <w:t xml:space="preserve"> Чебаркульского городского округа</w:t>
            </w:r>
            <w:r>
              <w:rPr/>
              <w:t>;</w:t>
            </w:r>
          </w:p>
          <w:p>
            <w:pPr>
              <w:pStyle w:val="NoSpacing"/>
              <w:ind w:firstLine="284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</w:t>
            </w:r>
            <w:r>
              <w:rPr>
                <w:bCs/>
                <w:iCs/>
                <w:sz w:val="28"/>
                <w:szCs w:val="28"/>
              </w:rPr>
              <w:t>Чебаркульского городского округа;</w:t>
            </w:r>
          </w:p>
          <w:p>
            <w:pPr>
              <w:pStyle w:val="NoSpacing"/>
              <w:ind w:firstLine="28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 </w:t>
            </w:r>
            <w:r>
              <w:rPr>
                <w:bCs/>
                <w:iCs/>
                <w:sz w:val="28"/>
                <w:szCs w:val="28"/>
              </w:rPr>
              <w:t>реализация полномочий органов местного самоуправления в области гражданской обороны;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округа;</w:t>
            </w:r>
          </w:p>
          <w:p>
            <w:pPr>
              <w:pStyle w:val="ConsPlusNormal"/>
              <w:numPr>
                <w:ilvl w:val="0"/>
                <w:numId w:val="0"/>
              </w:numPr>
              <w:ind w:firstLine="284" w:left="0"/>
              <w:jc w:val="both"/>
              <w:outlineLvl w:val="1"/>
              <w:rPr/>
            </w:pPr>
            <w:r>
              <w:rPr/>
              <w:t>- организация выполнения мероприятий обеспечения пожарной безопасности на территории Чебаркульского городского округа;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обеспечение своевременного и гарантированного доведения достоверной информации об угрозе возникновения или о возникновении чрезвычайных ситуаций, правилах поведения и способах защиты в такой ситуации до населения Чебаркульского городского округа;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редотвращени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возникновения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чрезвычайн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ых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ситуаци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й в сфере жилищно-коммунального хозяйства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</w:tr>
      <w:tr>
        <w:trPr>
          <w:trHeight w:val="1204" w:hRule="atLeast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bookmarkStart w:id="0" w:name="_Toc263021579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4-2026 год</w:t>
            </w:r>
            <w:bookmarkEnd w:id="0"/>
            <w:r>
              <w:rPr>
                <w:sz w:val="28"/>
                <w:szCs w:val="28"/>
              </w:rPr>
              <w:t>ы</w:t>
            </w:r>
          </w:p>
        </w:tc>
      </w:tr>
      <w:tr>
        <w:trPr>
          <w:trHeight w:val="983" w:hRule="atLeast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не предусмотрены</w:t>
            </w:r>
          </w:p>
        </w:tc>
      </w:tr>
      <w:tr>
        <w:trPr>
          <w:trHeight w:val="304" w:hRule="atLeast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бюджетных ассигнований муниципальной программы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реализацию муниципальной программы – 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Spacing"/>
              <w:tabs>
                <w:tab w:val="clear" w:pos="709"/>
                <w:tab w:val="right" w:pos="6876" w:leader="none"/>
              </w:tabs>
              <w:ind w:firstLine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 областного бюджета –</w:t>
              <w:tab/>
            </w:r>
            <w:r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 рублей;</w:t>
            </w:r>
          </w:p>
          <w:p>
            <w:pPr>
              <w:pStyle w:val="NoSpacing"/>
              <w:tabs>
                <w:tab w:val="clear" w:pos="709"/>
                <w:tab w:val="right" w:pos="6876" w:leader="none"/>
              </w:tabs>
              <w:ind w:firstLine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 местного бюджета –</w:t>
              <w:tab/>
              <w:t>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рублей.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бюджетных ассигнований муниципальной программы по годам: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  <w:tab/>
            </w:r>
            <w:r>
              <w:rPr>
                <w:sz w:val="28"/>
                <w:szCs w:val="28"/>
              </w:rPr>
              <w:t>279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782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  <w:t>310 1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29,49 рублей;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  <w:tab/>
              <w:t>10 350 530,00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областного бюджета –</w:t>
              <w:tab/>
              <w:t>23 500,00 рублей;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  <w:t>10 327 030,00 рублей;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</w:t>
            </w:r>
            <w:r>
              <w:rPr>
                <w:sz w:val="32"/>
                <w:szCs w:val="28"/>
              </w:rPr>
              <w:tab/>
            </w:r>
            <w:r>
              <w:rPr>
                <w:sz w:val="28"/>
                <w:szCs w:val="24"/>
              </w:rPr>
              <w:t>10 214 029</w:t>
            </w:r>
            <w:r>
              <w:rPr>
                <w:sz w:val="28"/>
                <w:szCs w:val="28"/>
              </w:rPr>
              <w:t>,00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областного бюджета –</w:t>
              <w:tab/>
              <w:t>23 500,00 рублей;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  <w:t>10 190 529,00 рублей.</w:t>
            </w:r>
          </w:p>
        </w:tc>
      </w:tr>
      <w:tr>
        <w:trPr>
          <w:trHeight w:val="169" w:hRule="atLeast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Доля отработанных вызовов поступившей информации об угрозе возникновения чрезвычайных ситуаций;</w:t>
            </w:r>
          </w:p>
          <w:p>
            <w:pPr>
              <w:pStyle w:val="NoSpacing"/>
              <w:spacing w:before="0" w:after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Доля обученного населения мерам пожарной безопасности от общего количества населения ЧГО;</w:t>
            </w:r>
          </w:p>
          <w:p>
            <w:pPr>
              <w:pStyle w:val="NoSpacing"/>
              <w:spacing w:before="0" w:after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Количество проведенных профилактических мероприятий по пожарной безопасности;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Доля населения, охваченного пропагандой пожарной безопасности и безопасности на водных объектах;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Размещение информации, направленной на обеспечение пожарной безопасности и безопасности на водных объектах на сайте администрации,</w:t>
            </w:r>
            <w:r>
              <w:rPr>
                <w:sz w:val="28"/>
                <w:szCs w:val="28"/>
                <w:shd w:fill="FFFFFF" w:val="clear"/>
              </w:rPr>
              <w:t xml:space="preserve"> информационных стендах, баннерах, брошюрах</w:t>
            </w:r>
            <w:r>
              <w:rPr>
                <w:rFonts w:eastAsia="Calibri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fill="FFFFFF" w:val="clear"/>
              </w:rPr>
              <w:t>6. </w:t>
            </w:r>
            <w:r>
              <w:rPr>
                <w:sz w:val="28"/>
                <w:szCs w:val="28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риобретен</w:t>
            </w:r>
            <w:r>
              <w:rPr>
                <w:sz w:val="28"/>
                <w:szCs w:val="28"/>
              </w:rPr>
              <w:t xml:space="preserve">ие </w:t>
            </w:r>
            <w:r>
              <w:rPr>
                <w:sz w:val="28"/>
                <w:szCs w:val="28"/>
              </w:rPr>
              <w:t>материальных средств для дооборудования заглубленных помещений подземного пространства в рамках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исполнения </w:t>
            </w:r>
            <w:r>
              <w:rPr>
                <w:sz w:val="28"/>
                <w:szCs w:val="28"/>
              </w:rPr>
              <w:t>полномочий органов местного самоуправления в области гражданской обороны;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 Количество приобретенных раскладушек на обеспечение пунктов временного размещения населения, пострадавшего в чрезвычайных ситуациях (далее – ПВР);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 Количество приобретенных индивидуальных аптечек;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 Протяженность обустроенной минерализованной полосы вдоль границ Чебаркульского городского округа;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 Количество многоквартирных домов, в которых выполнены работы по устранению предпосылок к возникновению чрезвычайных ситуаций.</w:t>
            </w:r>
          </w:p>
        </w:tc>
      </w:tr>
      <w:tr>
        <w:trPr>
          <w:trHeight w:val="1401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Доля отработанных вызовов  поступившей информации об угрозе возникновения чрезвычайных ситуаций и террористических актов: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- 100%;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- 100%;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- 100%.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Доля обученного населения мерам пожарной безопасности от общего количества населения ЧГО: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- 82%;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- 83%;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- 85%.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Количество проведенных профилактических мероприятий по пожарной безопасности: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- 11 шт.;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- 13 шт.;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- 14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Доля населения, охваченного пропагандой пожарной безопасности и безопасности на водных объектах: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82%;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85%.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 Размещение информации, направленной на обеспечение пожарной безопасности и безопасности людей на водных объектах на сайте администрации, </w:t>
            </w:r>
            <w:r>
              <w:rPr>
                <w:sz w:val="28"/>
                <w:szCs w:val="28"/>
                <w:shd w:fill="FFFFFF" w:val="clear"/>
              </w:rPr>
              <w:t>информационных стендах, баннерах, брошюрах</w:t>
            </w:r>
            <w:r>
              <w:rPr>
                <w:sz w:val="28"/>
                <w:szCs w:val="28"/>
              </w:rPr>
              <w:t>, да.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fill="FFFFFF" w:val="clear"/>
              </w:rPr>
              <w:t>6. </w:t>
            </w:r>
            <w:r>
              <w:rPr>
                <w:sz w:val="28"/>
                <w:szCs w:val="28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по мере необходимости;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по мере необходимости;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по мере необходимости.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П</w:t>
            </w:r>
            <w:r>
              <w:rPr>
                <w:sz w:val="28"/>
                <w:szCs w:val="28"/>
              </w:rPr>
              <w:t>риобретен</w:t>
            </w:r>
            <w:r>
              <w:rPr>
                <w:sz w:val="28"/>
                <w:szCs w:val="28"/>
              </w:rPr>
              <w:t xml:space="preserve">ие </w:t>
            </w:r>
            <w:r>
              <w:rPr>
                <w:sz w:val="28"/>
                <w:szCs w:val="28"/>
              </w:rPr>
              <w:t>материальных средств для дооборудования заглубленных помещений подземного пространства в рамках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исполнения </w:t>
            </w:r>
            <w:r>
              <w:rPr>
                <w:sz w:val="28"/>
                <w:szCs w:val="28"/>
              </w:rPr>
              <w:t>полномочий органов местного самоуправления в области гражданской обороны: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024 год – 1 </w:t>
            </w:r>
            <w:r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 Количество приобретенных раскладушек на обеспечение ПВР: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 Количество приобретенных индивидуальных аптечек: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 Протяженность обустроенной минерализованной полосы вдоль границ Чебаркульского городского округа: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 км.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 Количество многоквартирных домов, в которых выполнены работы по устранению предпосылок к возникновению чрезвычайных ситуаций – </w:t>
            </w:r>
            <w:r>
              <w:rPr>
                <w:sz w:val="28"/>
                <w:szCs w:val="28"/>
              </w:rPr>
              <w:t>30.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p>
      <w:pPr>
        <w:pStyle w:val="NoSpacing"/>
        <w:spacing w:before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</w:t>
        <w:br/>
        <w:t>и обоснование необходимости ее решения программными методами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На территории Чебаркульского городского округа существует угроза чрезвычайных ситуаций (далее – ЧС) природного и техногенного характера и тенденция роста количества и масштабов последствий чрезвычайных ситуаций, что заставляет искать новые решения проблемы защиты населения и территорий от чрезвычайных ситуаций, предвидеть будущие угрозы, риски и опасности, развивать методы их прогноза и предупреждения. Вопросы местного значения предполагают непосредственное обеспечение жизнедеятельности населения муниципального образования.</w:t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Муниципальная программа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разработана согласно пункта 28 статьи 16 Федерального закона от 06.10.2003 № 131-ФЗ «Об общих принципах организации местного самоуправления в Российской Федерации».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Муниципальная программа основывается на необходимости выполнения на территории Чебаркульского городского округа мероприятий в сфере предупреждения возникновения и развития чрезвычайных ситуаций, исходя из реальной ситуации, и сформирована с учетом нормативно-правовых, социально-экономических, финансовых, и иных условий организации и выполнения этих мероприятий. Муниципальная программа не включает решения всех проблем города в части ЧС. В условиях ограниченности бюджетных средств, муниципальная программа ориентирована на решение насущных проблем МКУ «Единая дежурно-диспетчерская служба Чебаркульского городского округа».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чрезвычайных ситуаций являются: изношенность основных производственных фондов, отсутствие современных систем управления опасными процессами, беспечность и халатность людей. Обеспечение безопасности Чебаркульского городского округа является необходимым условием обеспечения жизнедеятельности населения, соблюдения их законных прав и свобод, эффективного функционирования системы управления, экономики, городского хозяйства, транспорта и связи, сохранения на необходимом уровне параметров среды обитания, развития социальной и духовной сфер общества.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Для решения указанных проблем необходимо содержание единой дежурно-диспетчерской службы и обеспечение ее работоспособности. Программно-целевой метод решения поставленных задач обеспечит предупреждение возникновения и развития чрезвычайных ситуаций, повышение готовности и способности к ликвидации чрезвычайных ситуаций и их последствий, а так же повысит эффективность расходования бюджетных средств.</w:t>
      </w:r>
      <w:r>
        <w:br w:type="page"/>
      </w:r>
    </w:p>
    <w:p>
      <w:pPr>
        <w:pStyle w:val="NoSpacing"/>
        <w:spacing w:before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2. Основные цели и задачи муниципальной программы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1"/>
        <w:rPr/>
      </w:pPr>
      <w:r>
        <w:rPr/>
        <w:t>Целью реализации муниципальной программы является предотвращение и снижение риска возникновения чрезвычайных ситуаций, а также минимизация социального, экономического и экологического 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Чебаркульского городского округа.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1"/>
        <w:rPr/>
      </w:pPr>
      <w:r>
        <w:rPr/>
        <w:t>Достижение цели требует формирования комплексного подхода к муниципальному управлению в сфере обеспечения безопасности людей и территорий Чебаркульского городского округа и решения следующих задач: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1"/>
        <w:rPr/>
      </w:pPr>
      <w:r>
        <w:rPr/>
        <w:t>- 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 Чебаркульского городского округа;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- 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округа;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1"/>
        <w:rPr/>
      </w:pPr>
      <w:r>
        <w:rPr/>
        <w:t>- организация выполнения мероприятий обеспечения пожарной безопасности на территории Чебаркульского городского округа;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1"/>
        <w:rPr/>
      </w:pPr>
      <w:r>
        <w:rPr/>
        <w:t>- 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Чебаркульского городского округа.</w:t>
      </w:r>
    </w:p>
    <w:p>
      <w:pPr>
        <w:pStyle w:val="Default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3. Сроки и этапы реализации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реализации муниципальной программы: 2024-2026 годы.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00FF00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 носит постоянный характер. В силу постоянного характера решаемых задач, выделение отдельных этапов не предусмотрено.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Раздел 4. Система мероприятий и показатели (индикаторы)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24"/>
          <w:lang w:eastAsia="ru-RU"/>
        </w:rPr>
      </w:pPr>
      <w:r>
        <w:rPr>
          <w:rFonts w:cs="Times New Roman" w:ascii="Times New Roman" w:hAnsi="Times New Roman"/>
          <w:sz w:val="10"/>
          <w:szCs w:val="24"/>
          <w:lang w:eastAsia="ru-RU"/>
        </w:rPr>
      </w:r>
    </w:p>
    <w:tbl>
      <w:tblPr>
        <w:tblW w:w="15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3828"/>
        <w:gridCol w:w="2977"/>
        <w:gridCol w:w="1134"/>
        <w:gridCol w:w="2912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муниципальной программы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Показатели (индикаторы)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реализа-ции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(соисполнитель) мероприятия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Цель: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предотвращение и снижение риска возникновения чрезвычайных ситуаций, а также минимизация социального, экономического и экологического 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Чебаркульского городского округа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</w:t>
            </w:r>
            <w:r>
              <w:rPr>
                <w:rFonts w:cs="Times New Roman" w:ascii="Times New Roman" w:hAnsi="Times New Roman"/>
                <w:bCs/>
                <w:iCs/>
                <w:kern w:val="0"/>
                <w:sz w:val="24"/>
                <w:szCs w:val="24"/>
                <w:lang w:val="ru-RU" w:bidi="ar-SA"/>
              </w:rPr>
              <w:t xml:space="preserve"> Чебаркульского городского округа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деятельности муниципального казенного учреждения «Единая дежурно-диспетчерская служба Чебаркульского городского округа» (выплаты персоналу, закупка товаров и услуг)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отработанных вызовов  поступившей информации об угрозе возникновения чрезвычайных ситуаций,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</w:t>
            </w:r>
            <w:r>
              <w:rPr>
                <w:rFonts w:cs="Times New Roman" w:ascii="Times New Roman" w:hAnsi="Times New Roman"/>
                <w:bCs/>
                <w:iCs/>
                <w:kern w:val="0"/>
                <w:sz w:val="24"/>
                <w:szCs w:val="24"/>
                <w:lang w:val="ru-RU" w:bidi="ar-SA"/>
              </w:rPr>
              <w:t>Чебаркульского городского округа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обучения населения Чебаркульского городского округа мерам пожарной безопасности в системе курсового обучения по ГО и ЧС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обученного населения мерам пожарной безопасности от общего количества населения ЧГО,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на собраниях граждан вопроса пожарной безопасности, проведение бесед, инструктажей о мерах пожарной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Количество проведенных профилактических мероприятий по пожарной безопасности,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работы по профилактике лесных пожаров, пожаров в жилищном фонде, жилых домах граждан, а также по обеспечению безопасности на водных объектах, с подворным обходом домов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населения, охваченного пропагандой пожарной безопасности и безопасности на водных объектах,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Информационное обеспечение в области пожарной безопасности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и безопасности на водных объектах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 xml:space="preserve">Размещение информации, направленной на обеспечение пожарной безопасности и 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безопасности на водных объектах</w:t>
            </w: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 xml:space="preserve"> на сайте  администрации, </w:t>
            </w:r>
            <w:r>
              <w:rPr>
                <w:rFonts w:eastAsia="Times New Roman" w:cs="Calibri"/>
                <w:kern w:val="0"/>
                <w:shd w:fill="FFFFFF" w:val="clear"/>
                <w:lang w:val="ru-RU" w:eastAsia="ru-RU" w:bidi="ar-SA"/>
              </w:rPr>
              <w:t>информационных стендах, баннерах, брошюрах</w:t>
            </w: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, да/нет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организационных мероприятий по тушению 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территорий,, осуществляемого в соответствии с частью 5 статьи 51 Лесного кодекса Российской Федерации) силами и средствами Челябинской области подсистемы единой государственной  системы предупреждения и ликвидации чрезвычайных ситуаций в соответствии с полномочиями, установленными Федеральным законом «О защите населения и территорий от чрезвычайных ситуаций  природного и техногенного характера»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Организация возможности приема сообщений  по возникновению или  угрозе ландшафтных (природных) пожаров средствами службы МКУ ЕДДС -112 Чебаркульского городского округа, да/нет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Реализация полномочий органов местного самоуправления в области гражданской обороны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</w:t>
            </w:r>
            <w:r>
              <w:rPr>
                <w:sz w:val="24"/>
                <w:szCs w:val="24"/>
              </w:rPr>
              <w:t xml:space="preserve">ие </w:t>
            </w:r>
            <w:r>
              <w:rPr>
                <w:sz w:val="24"/>
                <w:szCs w:val="24"/>
              </w:rPr>
              <w:t>материальных средств для дооборудования заглубленных помещений подземного пространства в рамках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исполнения </w:t>
            </w:r>
            <w:r>
              <w:rPr>
                <w:sz w:val="24"/>
                <w:szCs w:val="24"/>
              </w:rPr>
              <w:t>полномочий органов местного самоуправления в области гражданской обороны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/>
                <w:sz w:val="24"/>
                <w:szCs w:val="24"/>
              </w:rPr>
              <w:t>приобретенных материальных средств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дооборудован</w:t>
            </w:r>
            <w:r>
              <w:rPr>
                <w:rFonts w:cs="Times New Roman"/>
                <w:sz w:val="24"/>
                <w:szCs w:val="24"/>
              </w:rPr>
              <w:t>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заглубленных помещений подземного пространства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к-т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57"/>
              <w:rPr>
                <w:rFonts w:cs="Calibri"/>
                <w:kern w:val="0"/>
                <w:lang w:val="ru-RU" w:eastAsia="ru-RU" w:bidi="ar-SA"/>
              </w:rPr>
            </w:pPr>
            <w:r>
              <w:rPr>
                <w:rFonts w:cs="Calibri"/>
                <w:kern w:val="0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ПВР раскладушками для организации эвакуационных мероприятий при возникновении чрезвычайных ситуаций природного или техногенного характера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раскладушек на обеспечение ПВР,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Приобретение аптечек индивидуальных для обеспечения мероприятий по ликвидации чрезвычайных ситуаций природного или техногенного характера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индивидуальных аптечек,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Организация выполнения мероприятий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обеспечения пожарной безопасности на территории Чебаркульского городского округа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минерализованной полосы вдоль границ Чебаркульского городского округа в соответствии с требованиями Правил противопожарного режима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lang w:val="ru-RU" w:eastAsia="ru-RU" w:bidi="ar-SA"/>
              </w:rPr>
              <w:t>Протяженность обустроенной минерализованной полосы вдоль границ Чебаркульского городского округа, 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редотвращени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е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возникновения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чрезвычайн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ых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ситуаци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й в сфере жилищно-коммунального хозяйства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роведение аварийно-восстановительного ремонта многоквартирных домов для предотвращения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возникновения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чрезвычайн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ых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ситуаци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Количество многоквартирных домов, в которых выполнены работы по устранению предпосылок к возникновению чрезвычайных ситуаций,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Управление жилищно-коммунального хозяйства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tbl>
      <w:tblPr>
        <w:tblW w:w="15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603"/>
        <w:gridCol w:w="968"/>
        <w:gridCol w:w="2718"/>
        <w:gridCol w:w="1418"/>
        <w:gridCol w:w="1637"/>
        <w:gridCol w:w="1907"/>
        <w:gridCol w:w="1561"/>
        <w:gridCol w:w="2627"/>
      </w:tblGrid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показателя (индикатора)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Определение показателя (индикатора)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Временные характеристики целевого показателя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Базовые показатели, используемые в формуле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 сбора информации и индекс формы отчетности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за сбор данных по целевому показателю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Доля отработанных вызовов поступившей информации об угрозе возникновения чрезвычайных ситуаций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Реагирование на посту</w:t>
              <w:softHyphen/>
              <w:t>пившую информацию об угрозе возникнове</w:t>
              <w:softHyphen/>
              <w:t>ния чрезвычайных си</w:t>
              <w:softHyphen/>
              <w:t>туаций и террористиче</w:t>
              <w:softHyphen/>
              <w:t>ских актов.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Кв * 100 / Ко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Кв - количество отработанных обращений,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 - количество обращений.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Журнал регистраций обращений в ЕДДС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Доля обученного населения мерам пожарной безопасности от общего количества населения ЧГО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Курсовое обучение население по ГО и ЧС, КШУ(Т), 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 * 100 / Кж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 - количество обученных,</w:t>
            </w:r>
          </w:p>
          <w:p>
            <w:pPr>
              <w:pStyle w:val="NormalWeb"/>
              <w:widowControl/>
              <w:spacing w:before="0" w:after="0"/>
              <w:ind w:right="-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Кж - количество жителей.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Форма «1 ОБУЧ»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проведенных профилактических мероприятий по пожарной безопасности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Собрание членов ТСЖ, жителей многоквартирных домов и проживающих в частном секторе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Годовой отчет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Доля населения, охваченного пропагандой пожарной безопасности и безопасности на водных объектах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Проведение бесед по пожарной безопасности и безопасности на вод</w:t>
              <w:softHyphen/>
              <w:t>ных объектах в образо</w:t>
              <w:softHyphen/>
              <w:t>вательных организа</w:t>
              <w:softHyphen/>
              <w:t>циях, жилищном фонде и жилых домах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Кп* 100 / Кж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Кп - количество проинструктированных,</w:t>
            </w:r>
          </w:p>
          <w:p>
            <w:pPr>
              <w:pStyle w:val="NormalWeb"/>
              <w:widowControl/>
              <w:spacing w:before="0" w:after="0"/>
              <w:ind w:right="-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Кж – количество жителей.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Ведомости инструктажа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Размещение информации, направленной на обеспечение пожарной безопасности и безопасности на водных объектах на сайте администрации,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информационных стендах, баннерах, брошюрах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Да/ нет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Мероприятие по информированию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Информация на сайте, </w:t>
            </w:r>
            <w:r>
              <w:rPr>
                <w:kern w:val="0"/>
                <w:shd w:fill="FFFFFF" w:val="clear"/>
                <w:lang w:val="ru-RU" w:bidi="ar-SA"/>
              </w:rPr>
              <w:t>информационных стендах, баннерах, брошюрах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cs="Times New Roman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- 112 Чебаркульского городского округа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Да/нет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 xml:space="preserve">Мероприятие по организации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возможности приема сообщений  по возникновению или угрозе ландшафтных (природных) пожаров средствами службы МКУ ЕДДС - 112 Чебаркульского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Журнал регистраций обращений в ЕДДС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/>
                <w:sz w:val="24"/>
                <w:szCs w:val="24"/>
              </w:rPr>
              <w:t>приобретенных материальных средств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дооборудован</w:t>
            </w:r>
            <w:r>
              <w:rPr>
                <w:rFonts w:cs="Times New Roman"/>
                <w:sz w:val="24"/>
                <w:szCs w:val="24"/>
              </w:rPr>
              <w:t>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заглубленных помещений подземного пространства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kern w:val="0"/>
                <w:sz w:val="24"/>
                <w:lang w:val="ru-RU"/>
              </w:rPr>
              <w:t xml:space="preserve">Реализация </w:t>
            </w:r>
            <w:r>
              <w:rPr>
                <w:rStyle w:val="Style18"/>
                <w:kern w:val="0"/>
                <w:sz w:val="24"/>
                <w:lang w:val="ru-RU"/>
              </w:rPr>
              <w:t>полномочий</w:t>
            </w:r>
            <w:r>
              <w:rPr>
                <w:rStyle w:val="Style18"/>
                <w:kern w:val="0"/>
                <w:sz w:val="24"/>
                <w:lang w:val="ru-RU"/>
              </w:rPr>
              <w:t xml:space="preserve"> </w:t>
            </w:r>
            <w:r>
              <w:rPr>
                <w:rStyle w:val="Style18"/>
                <w:kern w:val="0"/>
                <w:sz w:val="24"/>
                <w:lang w:val="ru-RU"/>
              </w:rPr>
              <w:t>в области гражданской обороны</w:t>
            </w: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 xml:space="preserve"> на территории Чебаркульского городского 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Накладная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раскладушек на обеспечение ПВР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Укомплектование ПВР материальными средствами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Накладная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индивидуальных аптечек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Приобретение материальных средств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Накладная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lang w:val="ru-RU" w:eastAsia="ru-RU" w:bidi="ar-SA"/>
              </w:rPr>
              <w:t>Протяженность обустроенной минерализованной полосы вдоль границ Чебаркульского городского округа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км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 xml:space="preserve">Реализация мероприятий по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обеспечению пожарной безопасности на территории Чебаркульского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Акт приема выполненных работ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Количество много</w:t>
              <w:softHyphen/>
              <w:t>квартирных домов, в которых выполнены работы по устранению предпосылок к возник</w:t>
              <w:softHyphen/>
              <w:t>новению чрезвычай</w:t>
              <w:softHyphen/>
              <w:t>ных ситуаций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редотвращени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е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возникновения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чрезвычайн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ых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ситуаци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й в сфере жилищно-коммунального хозяйства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 территории Чебаркульского городского 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Акт приема выполненных работ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Управление жилищно-коммунального хозяйства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Порядок сбора информации и методика расчета показателей (индикаторов) программы определяется по журналу регистраций обращений в Единую дежурно-диспетчерскую службу.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недобросовестные исполнители услуг (подрядчики работ);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риски связанные и изменением бюджетного и налогового законодательства;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финансовые риски, связанные с финансированием муниципальной программы не в полном объеме за счет бюджетных средств, изменением уровня инфляции, кризисными явлениями.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Раздел 5. Ресурсное обеспечение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6"/>
          <w:szCs w:val="28"/>
          <w:lang w:eastAsia="ru-RU"/>
        </w:rPr>
      </w:pPr>
      <w:r>
        <w:rPr>
          <w:rFonts w:cs="Times New Roman" w:ascii="Times New Roman" w:hAnsi="Times New Roman"/>
          <w:sz w:val="6"/>
          <w:szCs w:val="28"/>
          <w:lang w:eastAsia="ru-RU"/>
        </w:rPr>
      </w:r>
    </w:p>
    <w:p>
      <w:pPr>
        <w:pStyle w:val="ConsPlusNormal"/>
        <w:ind w:firstLine="709"/>
        <w:jc w:val="both"/>
        <w:rPr/>
      </w:pPr>
      <w:r>
        <w:rPr/>
        <w:t>Ресурсное обеспечение и объёмы финансирования в рамках муниципальной программы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рассчитаны на 2024 год и плановый период 2025 и 2026 годов и представлены в таблице.</w:t>
      </w:r>
    </w:p>
    <w:p>
      <w:pPr>
        <w:pStyle w:val="ConsPlusNormal"/>
        <w:rPr>
          <w:sz w:val="6"/>
        </w:rPr>
      </w:pPr>
      <w:r>
        <w:rPr>
          <w:sz w:val="6"/>
        </w:rPr>
      </w:r>
    </w:p>
    <w:p>
      <w:pPr>
        <w:pStyle w:val="ConsPlusNormal"/>
        <w:rPr/>
      </w:pPr>
      <w:r>
        <w:rPr/>
        <w:t>Бюджетные ассигнования и иные средства, направленные на выполнение мероприятий муниципальной программы</w:t>
      </w:r>
    </w:p>
    <w:p>
      <w:pPr>
        <w:pStyle w:val="ConsPlusNormal"/>
        <w:rPr>
          <w:sz w:val="6"/>
        </w:rPr>
      </w:pPr>
      <w:r>
        <w:rPr>
          <w:sz w:val="6"/>
        </w:rPr>
      </w:r>
    </w:p>
    <w:tbl>
      <w:tblPr>
        <w:tblW w:w="15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521"/>
        <w:gridCol w:w="1842"/>
        <w:gridCol w:w="2412"/>
        <w:gridCol w:w="1561"/>
        <w:gridCol w:w="1346"/>
        <w:gridCol w:w="1351"/>
        <w:gridCol w:w="1347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br/>
              <w:t>п/п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Наименование программы (подпрограммы),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(соисполнитель)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Код</w:t>
            </w:r>
          </w:p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бюджетной классификации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Источники ресурсного обеспечения</w:t>
            </w: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Объем финансирования,</w:t>
              <w:br/>
              <w:t>рублей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Calibri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2025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</w:tr>
      <w:tr>
        <w:trPr>
          <w:trHeight w:val="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деятельности муниципального казенного учреждения «Единая дежурно-диспетчерская служба Чебаркульского городского округа» (выплаты персоналу, закупка товаров и услуг)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1 678 472,06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10 327 030,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10 190 529,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435 0310 51000 30200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1 678 472,06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10 327 030,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10 190 529,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обучения населения Чебаркульского городского округа мерам пожарной безопасности в системе курсового обучения по ГО и ЧС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на собраниях граждан вопроса пожарной безопасности, проведение бесед, инструктажей о мерах пожарной безопасности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работы по профилактике лесных пожаров, пожаров в жилищном фонде, жилых домах граждан, а также по обеспечению безопасности на водных объектах, с подворным обходом домов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Информационное обеспечение в области пожарной безопасности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безопасности на водных объектах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0310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Обеспечение организационных мероприятий по тушению 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Челябинской области подсистемы единой государственной  системы предупреждения и ликвидации чрезвычайных ситуаций в соответствии с полномочиями, установленными Федеральным законом «О защите населения и территорий от чрезвычайных ситуаций  природного и техногенного характера»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Челябинская область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435 0310 51000 46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риобретен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материальных средств для дооборудования заглубленных помещений подземного пространства в рамках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полномочий органов местного самоуправления в области гражданской обороны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046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0310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046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ПВР раскладушками для организации эвакуационных мероприятий при  возникновении чрезвычайных ситуаций природного или техногенного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185 61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7,00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0310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185 61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7,00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Приобретение аптечек индивидуальных для обеспечения мероприятий по ликвидации чрезвычайных ситуаций природного или техногенного характера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47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0310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47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минерализованной полосы вдоль границ Чебаркульского городского округа в соответствии с требованиями Правил противопожарного режима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0310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8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роведение аварийно-восстановительного ремонта многоквартирных домов для предотвращения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возникновения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чрезвычайн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ых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ситуаци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267 349 646,98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40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0501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40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0501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769</w:t>
            </w:r>
            <w:r>
              <w:rPr>
                <w:sz w:val="24"/>
                <w:szCs w:val="24"/>
              </w:rPr>
              <w:t xml:space="preserve"> 25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40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0501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51000 7908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37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484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096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uppressAutoHyphens w:val="true"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279 782 725,12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10 350 530,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10 214 029,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23 500,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5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279 782 725,12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10 327 030,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10 190 529,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567" w:right="567" w:gutter="0" w:header="1134" w:top="1701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составляет 3</w:t>
      </w:r>
      <w:r>
        <w:rPr>
          <w:sz w:val="28"/>
          <w:szCs w:val="28"/>
        </w:rPr>
        <w:t>0</w:t>
      </w:r>
      <w:r>
        <w:rPr>
          <w:sz w:val="28"/>
          <w:szCs w:val="28"/>
        </w:rPr>
        <w:t>0 </w:t>
      </w:r>
      <w:r>
        <w:rPr>
          <w:sz w:val="28"/>
          <w:szCs w:val="28"/>
        </w:rPr>
        <w:t>347</w:t>
      </w:r>
      <w:r>
        <w:rPr>
          <w:sz w:val="28"/>
          <w:szCs w:val="28"/>
        </w:rPr>
        <w:t> </w:t>
      </w:r>
      <w:r>
        <w:rPr>
          <w:sz w:val="28"/>
          <w:szCs w:val="28"/>
        </w:rPr>
        <w:t>284</w:t>
      </w:r>
      <w:r>
        <w:rPr>
          <w:sz w:val="28"/>
          <w:szCs w:val="28"/>
        </w:rPr>
        <w:t>,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рублей, средства местного бюджета по годам:</w:t>
      </w:r>
    </w:p>
    <w:p>
      <w:pPr>
        <w:pStyle w:val="NoSpacing"/>
        <w:tabs>
          <w:tab w:val="clear" w:pos="709"/>
          <w:tab w:val="right" w:pos="4815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2024 год –</w:t>
        <w:tab/>
      </w:r>
      <w:r>
        <w:rPr>
          <w:sz w:val="28"/>
          <w:szCs w:val="28"/>
        </w:rPr>
        <w:t>279</w:t>
      </w:r>
      <w:r>
        <w:rPr>
          <w:sz w:val="28"/>
          <w:szCs w:val="28"/>
        </w:rPr>
        <w:t> </w:t>
      </w:r>
      <w:r>
        <w:rPr>
          <w:sz w:val="28"/>
          <w:szCs w:val="28"/>
        </w:rPr>
        <w:t>782</w:t>
      </w:r>
      <w:r>
        <w:rPr>
          <w:sz w:val="28"/>
          <w:szCs w:val="28"/>
        </w:rPr>
        <w:t> </w:t>
      </w:r>
      <w:r>
        <w:rPr>
          <w:sz w:val="28"/>
          <w:szCs w:val="28"/>
        </w:rPr>
        <w:t>72</w:t>
      </w:r>
      <w:r>
        <w:rPr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рублей;</w:t>
      </w:r>
    </w:p>
    <w:p>
      <w:pPr>
        <w:pStyle w:val="NoSpacing"/>
        <w:tabs>
          <w:tab w:val="clear" w:pos="709"/>
          <w:tab w:val="right" w:pos="4815" w:leader="none"/>
        </w:tabs>
        <w:ind w:firstLine="709"/>
        <w:rPr/>
      </w:pPr>
      <w:r>
        <w:rPr>
          <w:sz w:val="28"/>
          <w:szCs w:val="28"/>
        </w:rPr>
        <w:t>2025 год –</w:t>
        <w:tab/>
        <w:t>10 3</w:t>
      </w:r>
      <w:r>
        <w:rPr>
          <w:sz w:val="28"/>
          <w:szCs w:val="28"/>
        </w:rPr>
        <w:t>27</w:t>
      </w:r>
      <w:r>
        <w:rPr>
          <w:sz w:val="28"/>
          <w:szCs w:val="28"/>
        </w:rPr>
        <w:t> </w:t>
      </w:r>
      <w:r>
        <w:rPr>
          <w:sz w:val="28"/>
          <w:szCs w:val="28"/>
        </w:rPr>
        <w:t>0</w:t>
      </w:r>
      <w:r>
        <w:rPr>
          <w:sz w:val="28"/>
          <w:szCs w:val="28"/>
        </w:rPr>
        <w:t>30,00 рублей;</w:t>
      </w:r>
    </w:p>
    <w:p>
      <w:pPr>
        <w:pStyle w:val="NoSpacing"/>
        <w:tabs>
          <w:tab w:val="clear" w:pos="709"/>
          <w:tab w:val="right" w:pos="4815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2026 год –</w:t>
      </w:r>
      <w:r>
        <w:rPr>
          <w:sz w:val="32"/>
          <w:szCs w:val="28"/>
        </w:rPr>
        <w:tab/>
      </w:r>
      <w:r>
        <w:rPr>
          <w:sz w:val="28"/>
          <w:szCs w:val="24"/>
        </w:rPr>
        <w:t>10 </w:t>
      </w:r>
      <w:r>
        <w:rPr>
          <w:sz w:val="28"/>
          <w:szCs w:val="24"/>
        </w:rPr>
        <w:t>190</w:t>
      </w:r>
      <w:r>
        <w:rPr>
          <w:sz w:val="28"/>
          <w:szCs w:val="24"/>
        </w:rPr>
        <w:t> </w:t>
      </w:r>
      <w:r>
        <w:rPr>
          <w:sz w:val="28"/>
          <w:szCs w:val="24"/>
        </w:rPr>
        <w:t>5</w:t>
      </w:r>
      <w:r>
        <w:rPr>
          <w:sz w:val="28"/>
          <w:szCs w:val="24"/>
        </w:rPr>
        <w:t>29</w:t>
      </w:r>
      <w:r>
        <w:rPr>
          <w:sz w:val="28"/>
          <w:szCs w:val="28"/>
        </w:rPr>
        <w:t>,00 рублей.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обеспечению выполнения мероприятий в сфере предупреждения возникновения и развития чрезвычайных ситуаций в Чебаркульском городском округе, предусмотренные муниципальной программой, будут производиться в объемах, обеспеченных финансированием.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мероприятий муниципальной программы могут быть привлечены средства прочих источников в порядке, определенном законодательством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6. Организация управления</w:t>
        <w:br/>
        <w:t>и механизм реализации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rPr/>
      </w:pPr>
      <w:r>
        <w:rPr>
          <w:sz w:val="28"/>
          <w:szCs w:val="28"/>
        </w:rPr>
        <w:t xml:space="preserve">Ответственным исполнителем муниципальной программы </w:t>
      </w:r>
      <w:r>
        <w:rPr/>
        <w:t>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</w:t>
      </w:r>
      <w:r>
        <w:rPr>
          <w:sz w:val="28"/>
          <w:szCs w:val="28"/>
        </w:rPr>
        <w:t xml:space="preserve"> является администрация Чебаркульского городского округа.</w:t>
      </w:r>
    </w:p>
    <w:p>
      <w:pPr>
        <w:pStyle w:val="NoSpacing"/>
        <w:tabs>
          <w:tab w:val="clear" w:pos="709"/>
          <w:tab w:val="right" w:pos="10092" w:leader="none"/>
        </w:tabs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включает в себя: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ежеквартальный мониторинг выполнения муниципальной программы (до 15 числа месяца, следующего за отчетным кварталом);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своевременное выполнение мероприятий, целевое и эффективное использование бюджетных средств, выделяемых на их реализацию;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подготовку проектов нормативно-правовых актов о внесении в установленном порядке изменений и дополнений в муниципальную программу, на основании внесения изменений в бюджет;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оценку эффективности реализации мероприятий муниципальной программы;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подготовку ежегодного отчета о реализации муниципальной программы и достигнутых результатов.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целях контроля реализации муниципальной программы исполнитель муниципальной программы в срок до 30 числа месяца, следующего за отчетным кварталом, осуществляет мониторинг реализации муниципальной программы.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Соисполнитель муниципальной программы в пределах своей компетенции ежеквартально (за исключением IV квартала), до 15 числа месяца, следующего за отчетным кварталом, направляют ответственному исполнителю информацию для проведения мониторинга о ходе реализации муниципальной программы.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Результаты мониторинга предоставляются координатору муниципальной программы в срок до 30 числа месяца, следующим за отчетным кварталом. Годовой отчет о реализации и оценке эффективности муниципальной программы подготавливается ответственным исполнителем до 1 марта года, следующего за отчетным, и направляется в экономический отдел администрации Чебаркульского городского округа.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реализации муниципальной программы составляется в соответствии с разделом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Порядка разработки, реализации и оценки эффективности муниципальных программ Чебаркульского городского округа, утвержденном постановлением администрации Чебаркульского городского округа от 18.05.2022 № 322.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Контроль за ходом выполнения муниципальной программы осуществляет координатор.</w:t>
      </w:r>
    </w:p>
    <w:p>
      <w:pPr>
        <w:pStyle w:val="Normal"/>
        <w:shd w:fill="FFFFFF" w:val="clear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Публичность информации о муниципальной программе обеспечивается посредством размещения в сети Интернет.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Раздел 7. Ожидаемые результаты реализации муниципальной программы</w:t>
        <w:br/>
        <w:t>с указанием показателей (индикаторов)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Выполнение программных мероприятий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в 2024-2026 годах обеспечит:</w:t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- снижение вероятности возникновения чрезвычайных ситуаций, снижение количества погибших при ЧС, уменьшение ущерба от последствий ЧС;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- сокращение сроков прохождения информации о возможных чрезвычайных ситуациях и своевременное реагирование;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снижение количества происшествий на водных объектах.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промежуточных и конечных результатов реализации Программы будут использоваться следующие целевые индикаторы, отраженные в следующей таблице:</w:t>
      </w:r>
    </w:p>
    <w:tbl>
      <w:tblPr>
        <w:tblW w:w="974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836"/>
        <w:gridCol w:w="850"/>
        <w:gridCol w:w="992"/>
        <w:gridCol w:w="994"/>
        <w:gridCol w:w="1170"/>
        <w:gridCol w:w="1168"/>
        <w:gridCol w:w="1169"/>
      </w:tblGrid>
      <w:tr>
        <w:trPr>
          <w:trHeight w:val="676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</w:t>
              <w:softHyphen/>
              <w:t>ница изме</w:t>
              <w:softHyphen/>
              <w:t>рения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2024 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2025 год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2026 год</w:t>
            </w:r>
          </w:p>
        </w:tc>
      </w:tr>
      <w:tr>
        <w:trPr>
          <w:trHeight w:val="90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  <w:br/>
              <w:t>(отчет)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  <w:br/>
              <w:t>(прогноз)</w:t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1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отработанных вызовов поступившей информации об угрозе возникновения чрезвычайных ситуаций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обученного населения мерам пожарной безопасности от общего количества населения ЧГО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</w:t>
              <w:softHyphen/>
              <w:t>приятий по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Доля населения, охваченного пропагандой пожарной безопасности и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информации, направленной на обеспечение пожарной безопасности и безопасности людей на водных объектах на сайте администрации, </w:t>
            </w:r>
            <w:r>
              <w:rPr>
                <w:sz w:val="24"/>
                <w:szCs w:val="24"/>
                <w:shd w:fill="FFFFFF" w:val="clear"/>
              </w:rPr>
              <w:t>информационных стендах, баннерах, брошюрах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/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/>
                <w:sz w:val="24"/>
                <w:szCs w:val="24"/>
              </w:rPr>
              <w:t>приобретенных материальных средств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дооборудован</w:t>
            </w:r>
            <w:r>
              <w:rPr>
                <w:rFonts w:cs="Times New Roman"/>
                <w:sz w:val="24"/>
                <w:szCs w:val="24"/>
              </w:rPr>
              <w:t>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заглубленных помещений подземного пространства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к-т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приобретенных материальных средств на обеспечение ПВР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приобретенных индивидуальных аптечек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uppressAutoHyphens w:val="true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auto"/>
                <w:kern w:val="0"/>
                <w:sz w:val="24"/>
                <w:lang w:val="ru-RU" w:eastAsia="ru-RU" w:bidi="ar-SA"/>
              </w:rPr>
              <w:t>Протяженность обустроенной минерализованной полосы вдоль границ Чебаркульского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Количество многоквар</w:t>
              <w:softHyphen/>
              <w:t>тирных домов, в которых выполнены работы по устранению предпосы</w:t>
              <w:softHyphen/>
              <w:t>лок к возникновению чрезвычайных ситуаций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шт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8. Финансово-экономическое обоснование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Финансирование муниципальной программы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в 2024-2026 годах осуществляется за счет средств местного бюджета.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реализацию программы включают в себя общий объем бюджетных ассигнований бюджета городского округа на обеспечение деятельности МКУ «</w:t>
      </w:r>
      <w:r>
        <w:rPr>
          <w:rFonts w:cs="Times New Roman" w:ascii="Times New Roman" w:hAnsi="Times New Roman"/>
          <w:sz w:val="28"/>
          <w:szCs w:val="28"/>
          <w:lang w:eastAsia="ru-RU"/>
        </w:rPr>
        <w:t>Единая дежурно-диспетчерская служба</w:t>
      </w:r>
      <w:r>
        <w:rPr>
          <w:rFonts w:cs="Times New Roman" w:ascii="Times New Roman" w:hAnsi="Times New Roman"/>
          <w:sz w:val="28"/>
          <w:szCs w:val="28"/>
        </w:rPr>
        <w:t xml:space="preserve"> Чебаркульского городского округа», размещение баннера по пожарной безопасности и приобретение материальных средств для реализации мероприятий по устранению чрезвычайных ситуаций и их последствий.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9.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Муниципальной программой не предусмотрена реализация подпрограмм.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Раздел 10. Перечень и краткое описание проектов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Реализация региональных и национальных проектов в рамках данной муниципальной программы не предусмотрена.</w:t>
      </w:r>
    </w:p>
    <w:sectPr>
      <w:headerReference w:type="default" r:id="rId6"/>
      <w:headerReference w:type="first" r:id="rId7"/>
      <w:type w:val="nextPage"/>
      <w:pgSz w:w="11906" w:h="16838"/>
      <w:pgMar w:left="1701" w:right="567" w:gutter="0" w:header="567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6</w:t>
    </w:r>
    <w:r>
      <w:rPr>
        <w:sz w:val="24"/>
        <w:szCs w:val="24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17</w:t>
    </w:r>
    <w:r>
      <w:rPr>
        <w:sz w:val="24"/>
        <w:szCs w:val="24"/>
        <w:rFonts w:ascii="PT Astra Serif" w:hAnsi="PT Astra Serif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center"/>
    </w:pPr>
    <w:rPr>
      <w:rFonts w:ascii="Calibri" w:hAnsi="Calibri" w:eastAsia="Times New Roman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uppressAutoHyphens w:val="true"/>
      <w:spacing w:lineRule="auto" w:line="360" w:before="0" w:after="0"/>
      <w:ind w:hanging="360" w:left="720"/>
      <w:outlineLvl w:val="0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eastAsia="Times New Roman"/>
      <w:b/>
      <w:bCs/>
      <w:sz w:val="32"/>
      <w:szCs w:val="32"/>
      <w:lang w:eastAsia="ar-SA"/>
    </w:rPr>
  </w:style>
  <w:style w:type="character" w:styleId="Style13">
    <w:name w:val="Основной текст Знак"/>
    <w:qFormat/>
    <w:rPr>
      <w:rFonts w:cs="Calibri"/>
      <w:lang w:eastAsia="en-US"/>
    </w:rPr>
  </w:style>
  <w:style w:type="character" w:styleId="Strong">
    <w:name w:val="Strong"/>
    <w:qFormat/>
    <w:rPr>
      <w:b/>
      <w:bCs/>
    </w:rPr>
  </w:style>
  <w:style w:type="character" w:styleId="Style14">
    <w:name w:val="Текст выноски Знак"/>
    <w:link w:val="BalloonText"/>
    <w:qFormat/>
    <w:rPr>
      <w:rFonts w:ascii="Tahoma" w:hAnsi="Tahoma" w:eastAsia="Times New Roman" w:cs="Tahoma"/>
      <w:sz w:val="16"/>
      <w:szCs w:val="16"/>
      <w:lang w:eastAsia="en-US"/>
    </w:rPr>
  </w:style>
  <w:style w:type="character" w:styleId="Style15">
    <w:name w:val="Верхний колонтитул Знак"/>
    <w:qFormat/>
    <w:rPr>
      <w:rFonts w:eastAsia="Times New Roman" w:cs="Calibri"/>
      <w:sz w:val="22"/>
      <w:szCs w:val="22"/>
      <w:lang w:eastAsia="en-US"/>
    </w:rPr>
  </w:style>
  <w:style w:type="character" w:styleId="Style16">
    <w:name w:val="Нижний колонтитул Знак"/>
    <w:qFormat/>
    <w:rPr>
      <w:rFonts w:eastAsia="Times New Roman" w:cs="Calibri"/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TML">
    <w:name w:val="Стандартный HTML Знак"/>
    <w:link w:val="HTMLPreformatted"/>
    <w:qFormat/>
    <w:rPr>
      <w:rFonts w:ascii="Courier New" w:hAnsi="Courier New" w:eastAsia="Times New Roman" w:cs="Courier New"/>
    </w:rPr>
  </w:style>
  <w:style w:type="character" w:styleId="Style17">
    <w:name w:val="Гипертекстовая ссылка"/>
    <w:qFormat/>
    <w:rPr>
      <w:rFonts w:cs="Times New Roman"/>
      <w:b/>
      <w:color w:val="008000"/>
    </w:rPr>
  </w:style>
  <w:style w:type="character" w:styleId="Style18">
    <w:name w:val="Без интервала Знак"/>
    <w:link w:val="NoSpacing"/>
    <w:qFormat/>
    <w:rPr>
      <w:rFonts w:ascii="Times New Roman" w:hAnsi="Times New Roman" w:eastAsia="Times New Roman"/>
      <w:sz w:val="26"/>
      <w:lang w:bidi="ar-SA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3"/>
    <w:pPr>
      <w:suppressAutoHyphens w:val="true"/>
      <w:spacing w:lineRule="auto" w:line="240" w:before="0" w:after="0"/>
      <w:jc w:val="both"/>
    </w:pPr>
    <w:rPr>
      <w:rFonts w:eastAsia="Calibri" w:cs="Times New Roman"/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>
    <w:name w:val="Абзац списка1"/>
    <w:basedOn w:val="Normal"/>
    <w:qFormat/>
    <w:pPr>
      <w:ind w:left="72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Footer">
    <w:name w:val="Footer"/>
    <w:basedOn w:val="Normal"/>
    <w:link w:val="Style1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8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ru-RU" w:bidi="ar-SA"/>
    </w:rPr>
  </w:style>
  <w:style w:type="paragraph" w:styleId="Style61">
    <w:name w:val="Style6"/>
    <w:basedOn w:val="Normal"/>
    <w:qFormat/>
    <w:pPr>
      <w:widowControl w:val="false"/>
      <w:spacing w:lineRule="exact" w:line="322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LibreOffice/24.2.3.2$Linux_X86_64 LibreOffice_project/420$Build-2</Application>
  <AppVersion>15.0000</AppVersion>
  <Pages>21</Pages>
  <Words>4062</Words>
  <Characters>29742</Characters>
  <CharactersWithSpaces>33250</CharactersWithSpaces>
  <Paragraphs>608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2023-11-14T11:24:00Z</dcterms:created>
  <dc:creator>Admin</dc:creator>
  <dc:description/>
  <dc:language>ru-RU</dc:language>
  <cp:lastModifiedBy/>
  <cp:lastPrinted>2025-02-03T08:28:38Z</cp:lastPrinted>
  <dcterms:modified xsi:type="dcterms:W3CDTF">2025-04-22T10:30:06Z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